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A8" w:rsidRPr="00B757A8" w:rsidRDefault="00B757A8" w:rsidP="00B757A8">
      <w:pPr>
        <w:shd w:val="clear" w:color="auto" w:fill="FFFFFF"/>
        <w:spacing w:line="225" w:lineRule="atLeast"/>
        <w:textAlignment w:val="top"/>
        <w:rPr>
          <w:rFonts w:ascii="Helvetica" w:eastAsia="Times New Roman" w:hAnsi="Helvetica" w:cs="Helvetica"/>
          <w:color w:val="808080"/>
          <w:sz w:val="18"/>
          <w:szCs w:val="18"/>
          <w:lang w:eastAsia="es-ES"/>
        </w:rPr>
      </w:pPr>
    </w:p>
    <w:p w:rsidR="00B757A8" w:rsidRPr="00B757A8" w:rsidRDefault="00B757A8" w:rsidP="00B757A8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</w:pP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PROPOSICIÓN DE LEY INTEGRAL PARA LA NO DISCRIMINACIÓN POR MOTIVOS DE IDENTIDAD DE GÉNERO Y RECONOCIMIENTO DE LOS DERECHOS DE LAS PERSONAS TRANSEXUALES DE ANDALUCÍA</w:t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RESUMEN</w:t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- La libre autodeterminación del género de cada persona ha de ser afirmada como un derecho humano fundamental.</w:t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 xml:space="preserve">- Aunque la Organización Mundial de la Salud (OMS) eliminó la homosexualidad como enfermedad en 1990, la transexualidad es recogida por la American </w:t>
      </w:r>
      <w:proofErr w:type="spellStart"/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Psychiatric</w:t>
      </w:r>
      <w:proofErr w:type="spellEnd"/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 xml:space="preserve"> </w:t>
      </w:r>
      <w:proofErr w:type="spellStart"/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Association</w:t>
      </w:r>
      <w:proofErr w:type="spellEnd"/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 xml:space="preserve"> (APA) y por la OMS como un “trastorno de identidad sexual” cuyo diagnóstico médico es “disforia de género”.</w:t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 xml:space="preserve">- En los últimos años se ha intensificado la reivindicación de la </w:t>
      </w:r>
      <w:proofErr w:type="spellStart"/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despatologización</w:t>
      </w:r>
      <w:proofErr w:type="spellEnd"/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 xml:space="preserve"> de la transexualidad para que sea retirada de los manuales de las enfermedades mentales, pues este hecho de ser considerada como una patología, hace que se fomenten los prejuicios y la discriminación hacia estas personas.</w:t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- La Resolución del Parlamento Europeo (12 septiembre 1989) sobre la discriminación de los transexuales insta a los Estados miembros a llevar a cabo una serie de medidas en la dirección de esta ley.</w:t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- La Ley debe reconocer la voluntad de la persona de cambiar su sexo-género real por el que realmente desea, a todos los efectos administrativos y garantizar que pueda hacerlo sin trabas en lo que a las competencias autonómicas atañe, que incluyen el empleo, la sanidad, la educación, la vivienda, los servicios sociales, la juventud…</w:t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- Debe garantizar que se dará satisfacción a la necesidad íntima e invencible de las personas transexuales de recibir los tratamientos médicos y sanitarios adecuados. Debe incluir procedimientos de psicología clínica, medicina y cirugía.</w:t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- Se debe garantizar la autonomía responsable del paciente-usuario transexual frente a los prestadores de servicios de salud, superando definitivamente anacronismos como las terapias “curativas” o el llamado “test de experiencia real”.</w:t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- En cuanto a los menores, gozarán de una protección especial y dispondrán de oportunidades y servicios para que puedan desarrollarse física, mental, moral, espiritual y socialmente en forma saludable y plena. Esto incluye el derecho a que les sea reconocida su propia identidad de género dentro del proceso de formación de su personalidad.</w:t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• La solicitud acreditativa del menor transexual deberá ser efectuada por sus padres, tutores o representantes legales, con la expresa conformidad del menor, que será oído teniendo en cuenta los principios de actitud y capacidad progresiva.</w:t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• Los menores tienen pleno derecho a recibir la atención sanitaria necesaria para garantizar el desarrollo equilibrado y saludable de su identidad de género, con especial atención a la etapa de la pubertad.</w:t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- Esta ley garantiza el derecho a la autodeterminación de género de las personas que manifiestan una identidad de género distinta a la asignada al nacer, al libre desarrollo de su persona, a ser tratado de acuerdo con su identidad de género, y al acceso y atención de los servicios públicos que se prestan por la Administración de la Junta de Andalucía.</w:t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- Ninguna persona será obligada a someterse a tratamiento, procedimiento médico o examen psicológico que coarte su libertad de autodeterminación de género.</w:t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 xml:space="preserve">- No podrá aplicarse discriminación laboral de ningún tipo (acceso, promoción, remuneración y trato) , ni ser causa de despido, cese…el hecho de manifestar la propia </w:t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lastRenderedPageBreak/>
        <w:t>identidad de género libremente determinada.</w:t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 xml:space="preserve">- Las políticas activas de ocupación tendrán entre sus objetivos fomentar la </w:t>
      </w:r>
      <w:proofErr w:type="spellStart"/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empleabilidad</w:t>
      </w:r>
      <w:proofErr w:type="spellEnd"/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 xml:space="preserve"> de las personas que manifiestan socialmente una identidad de género distinta a la de su sexo biológico, y para ello incluirán a las mismas en los programas de inserción laboral de los colectivos con especial dificultad en el acceso al empleo.</w:t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- En el ámbito educativo, se asegurará el respeto a todas las expresiones de género presentes en el ámbito educativo.</w:t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• Se crearán y promoverán programas de coordinación entre el sistema educativo y el sanitario para la detección e intervención ante situaciones de riesgo que pongan en peligro el desarrollo integral del menor que manifieste una identidad de género distinta a la de su sexo biológico.</w:t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• Los estudiantes tienen derecho a ver su identidad de género libremente determinada y el nombre que hayan elegido reflejados en la documentación administrativa del centro, especialmente en aquella de exposición pública.</w:t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• Los familiares de estas personas tendrán derecho a la información, orientación y asesoramiento en relación con sus necesidades de apoyo.</w:t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 xml:space="preserve">Medidas contra la </w:t>
      </w:r>
      <w:proofErr w:type="spellStart"/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transfobia</w:t>
      </w:r>
      <w:proofErr w:type="spellEnd"/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- La Administración de la Junta de Andalucía, en colaboración con las asociaciones de personas transexuales:</w:t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• Emprenderá campañas de sensibilización a fin de combatir los prejuicios en este tema.</w:t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 xml:space="preserve">• Desarrollará programas dirigidos a contrarrestar entre el personal funcionario, laboral, </w:t>
      </w:r>
      <w:proofErr w:type="spellStart"/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etc</w:t>
      </w:r>
      <w:proofErr w:type="spellEnd"/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 xml:space="preserve"> las actitudes discriminatorias.</w:t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• Asegurará que la conducta de los medios de comunicación sea plural.</w:t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• Promoverá que las universidades de la Comunidad fomenten la formación e investigación en materia de autodeterminación de género.</w:t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POSIBLES CONSECUENCIAS DE DICHA LEY EN CENTROS EDUCATIVOS</w:t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Si un niño se siente una niña o su familia considera que se realizará mejor siendo una niña, la Junta asumirá que el cambio de identidad es la mejor solución para el menor y organizará todas sus relaciones para que no tenga otra opción que la de cambiar de sexo.</w:t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• Se obligará a toda la comunidad escolar a admitirlo en los baños y vestuarios de chicas, aunque sus órganos genitales sean los de un chico.</w:t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• Se obligará a sus compañeros a llamarlo por su nombre de chica y a tratarlo como una chica, sea lo que quiera que esto signifique para la Junta de Andalucía.</w:t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• Se obligará a los profesores a cambiar todos los papeles del alumno para adaptarse a su nueva identidad de género.</w:t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• Se obligará a los padres de los demás alumnos a ver cómo algo natural que el chico vaya vestido de chica al colegio y comparta servicios y espacios íntimos con sus hijas.</w:t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• Se preparará al menor para el inexorable cambio de sexo, un proceso que culminará con los drásticos tratamientos hormonales y con la operación quirúrgica de cambio de órganos genitales. </w:t>
      </w:r>
      <w:r w:rsidRPr="00B757A8">
        <w:rPr>
          <w:rFonts w:ascii="Helvetica" w:eastAsia="Times New Roman" w:hAnsi="Helvetica" w:cs="Helvetica"/>
          <w:color w:val="37404E"/>
          <w:sz w:val="21"/>
          <w:szCs w:val="21"/>
          <w:lang w:eastAsia="es-ES"/>
        </w:rPr>
        <w:br/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Cualquier solución que no pase por este itinerario, como por ejemplo, una ayuda psicológica al niño y a los padres para saber si realmente se trata de un caso de disforia de género y si existen alternativas al cambio de sexo, quedará excluida y será proscrita como una alternativa “</w:t>
      </w:r>
      <w:proofErr w:type="spellStart"/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>transfoba</w:t>
      </w:r>
      <w:proofErr w:type="spellEnd"/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t xml:space="preserve">”, la nueva palabra-policía incluida en el proyecto de ley </w:t>
      </w:r>
      <w:r w:rsidRPr="00B757A8">
        <w:rPr>
          <w:rFonts w:ascii="Helvetica" w:eastAsia="Times New Roman" w:hAnsi="Helvetica" w:cs="Helvetica"/>
          <w:color w:val="37404E"/>
          <w:sz w:val="21"/>
          <w:lang w:eastAsia="es-ES"/>
        </w:rPr>
        <w:lastRenderedPageBreak/>
        <w:t>para marcar a cualquiera que no acepte que la identidad de género es una elección del individuo, una más, como la elección de unos zapatos o un modelo de coche.</w:t>
      </w:r>
    </w:p>
    <w:p w:rsidR="008B6115" w:rsidRDefault="008B6115"/>
    <w:sectPr w:rsidR="008B6115" w:rsidSect="008B61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57A8"/>
    <w:rsid w:val="008B6115"/>
    <w:rsid w:val="00B7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757A8"/>
    <w:rPr>
      <w:color w:val="0000FF"/>
      <w:u w:val="single"/>
    </w:rPr>
  </w:style>
  <w:style w:type="character" w:customStyle="1" w:styleId="usercontent">
    <w:name w:val="usercontent"/>
    <w:basedOn w:val="Fuentedeprrafopredeter"/>
    <w:rsid w:val="00B757A8"/>
  </w:style>
  <w:style w:type="character" w:customStyle="1" w:styleId="textexposedshow">
    <w:name w:val="text_exposed_show"/>
    <w:basedOn w:val="Fuentedeprrafopredeter"/>
    <w:rsid w:val="00B757A8"/>
  </w:style>
  <w:style w:type="character" w:customStyle="1" w:styleId="apple-converted-space">
    <w:name w:val="apple-converted-space"/>
    <w:basedOn w:val="Fuentedeprrafopredeter"/>
    <w:rsid w:val="00B75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8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292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1</cp:revision>
  <dcterms:created xsi:type="dcterms:W3CDTF">2014-07-19T07:10:00Z</dcterms:created>
  <dcterms:modified xsi:type="dcterms:W3CDTF">2014-07-19T07:11:00Z</dcterms:modified>
</cp:coreProperties>
</file>